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E8" w:rsidRPr="00936563" w:rsidRDefault="00BE25E8" w:rsidP="00BE25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bookmarkStart w:id="0" w:name="_GoBack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تراجع عائدات </w:t>
      </w:r>
      <w:r w:rsidRPr="0093656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قناة السويس</w:t>
      </w:r>
      <w:r w:rsidRPr="009365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الأبعاد والتداعيات</w:t>
      </w:r>
    </w:p>
    <w:p w:rsidR="00BE25E8" w:rsidRPr="002B6FDC" w:rsidRDefault="00BE25E8" w:rsidP="0004314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2B6FD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الجزء </w:t>
      </w:r>
      <w:r w:rsidR="00043143" w:rsidRPr="002B6FD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الثاني</w:t>
      </w:r>
      <w:r w:rsidRPr="002B6FD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: رحلة </w:t>
      </w:r>
      <w:r w:rsidR="002B6FDC" w:rsidRPr="002B6FD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القناة </w:t>
      </w:r>
      <w:r w:rsidRPr="002B6FD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في مائة عام</w:t>
      </w:r>
      <w:r w:rsidRPr="002B6FD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BE25E8" w:rsidRPr="00936563" w:rsidRDefault="00BE25E8" w:rsidP="00BE25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بقلم: </w:t>
      </w:r>
      <w:r w:rsidRPr="0093656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ممدوح الولى</w:t>
      </w:r>
    </w:p>
    <w:bookmarkEnd w:id="0"/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احتلت ايرادات قناة السويس المركز الخامس عادة بين موارد النقد الأجنبى لمصر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بعد الصادرات السلعية وتحويلات المصريين العاملين بالخارج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والسياحة والإستثمار الأجنبى المباشر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وفى السنوات الأخيرة التى زادت خلالها المعونات الخليجية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تراجع مركز ايرادات قناة السويس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المركز السادس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وكذلك مع زيادة معدلات الاقتراض الخارجى مؤخرا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بعد تراجع المعونات الخليجية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استمر ترتيب ايرادات قناة السويس بالمركز السادس بين موارد العملات الأجنبية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وعادة ما يدور النصيب النسبى لإيرادات قناة السويس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موارد النقد الأجنبى حول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نسبة 6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من اجمالى الموارد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ففى العام المالى 2014/2015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توزع النصيب النسبى لموارد النقد الأجنبى فى مصر البالغ 4ر99 مليار دولار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بين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22.1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للصادرات السلعية والبترولية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20.6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للمستخدم من القروض والودائع الأجنبية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19.3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لتحويلات المصريين العاملين بالخارج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13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للاستثمار الأجنبى المباشر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7.4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للسياحة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5.4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لايرادات قناة السويس بالمركز السادس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وبذلك زادت ايرادات القناة عن موارد 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تتمثل فى خدمات النقل المقدمة للطائرات والسفن الأجنبية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والتى بلغ نصيبها النسبى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4.5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% من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جمالى موارد النقد الأجنبى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والمتحصلات من الخدمات الأخرى بخلاف السياحة والنقل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 الخدمات المالية والتشييد والبناء والخدمات التعليمية والصحية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والمتحصلات من الخدمات التى تقدمها القنصليات المصرية بالخارج للمصريين بتلك الدول بنسبة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1.4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ودخل الاستثمار المتمثل فى عوائد الاستثمارات والودائع المصرية بالخارج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بنسبة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0.2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من إجمالى موارد النقد الأجنبى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وخلال السنوات المالية العشر الأخيرة ما بين عامى 2005/2006 و2014/2015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تراوح النصيب النسبى للقناة من اجمالى موارد النقد الأجنبى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 بين نسبة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5.4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كأقل نسبة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6.7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كأعلى نسبة وكانت عام 2010/2011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عوائد مرور السفن بقناة السويس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 مليون دولار - </w:t>
      </w:r>
    </w:p>
    <w:tbl>
      <w:tblPr>
        <w:tblStyle w:val="TableGrid"/>
        <w:bidiVisual/>
        <w:tblW w:w="0" w:type="auto"/>
        <w:tblInd w:w="-28" w:type="dxa"/>
        <w:tblLook w:val="04A0" w:firstRow="1" w:lastRow="0" w:firstColumn="1" w:lastColumn="0" w:noHBand="0" w:noVBand="1"/>
      </w:tblPr>
      <w:tblGrid>
        <w:gridCol w:w="2232"/>
        <w:gridCol w:w="1116"/>
        <w:gridCol w:w="1484"/>
        <w:gridCol w:w="1117"/>
        <w:gridCol w:w="1484"/>
        <w:gridCol w:w="1927"/>
      </w:tblGrid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الايرادات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الايرادات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الايرادات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94/1995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2058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2001/2002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1820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2008/2009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4721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95/1996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1885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2002/2003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2236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2009/2010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4517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96/1997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1849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2003/2004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2848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2010/2011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5053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97/1998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1776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2004/2005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3307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2011/2012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5208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98/1999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1771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2005/2006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3559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2012/2013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5032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99/2000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1781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2006/2007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4170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2013/2014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5369</w:t>
            </w:r>
          </w:p>
        </w:tc>
      </w:tr>
      <w:tr w:rsidR="00CD257D" w:rsidRPr="00936563" w:rsidTr="000133D4">
        <w:tc>
          <w:tcPr>
            <w:tcW w:w="223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2000/2001</w:t>
            </w:r>
          </w:p>
        </w:tc>
        <w:tc>
          <w:tcPr>
            <w:tcW w:w="1116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1843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2007/2008</w:t>
            </w:r>
          </w:p>
        </w:tc>
        <w:tc>
          <w:tcPr>
            <w:tcW w:w="111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5155</w:t>
            </w:r>
          </w:p>
        </w:tc>
        <w:tc>
          <w:tcPr>
            <w:tcW w:w="148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2014/2015</w:t>
            </w:r>
          </w:p>
        </w:tc>
        <w:tc>
          <w:tcPr>
            <w:tcW w:w="1927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5362</w:t>
            </w:r>
          </w:p>
        </w:tc>
      </w:tr>
    </w:tbl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المصدر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البنك المركزى المصرى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ويلاحظ على ايرادات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قناة السويس التذبذب رغم الاتجاه الصعودى لها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وارتبط ذلك التذبذب بالمتغيرات الإقتصادية العالمية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حيث تراجعت الإيرادات خلال فترة مشكلة النمور الآسيوية بالنصف الثانى من التسعينات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تراجعت خلال سنوات تداعيات الأزمة المالية العالمية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والتى انعكست على تراجع معدلات التجارة الدولية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إلا أن ايرادات القناة كان بها درجة كبيرة من التماسك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بالمقارنة لمعدلات التراجع التى لحقت بموارد مصرية 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مثل السياحة والإستثمار الأجنبى المباشر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خلال السنوات التالية لثورة الخامس والعشرين من يناير 2011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ويعود ذلك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حرص الدول الكبرى على استمرار العمل بالقناة بشكل طبيعى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حماية لمصالحها التجارية والحربية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مهما كانت الظروف الداخلية فى مصر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باعتبارها ممرا مائيا عالميا يخضع لمعاهدة القسطنطينية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لدرجة صدور تحذير أمريكى خلال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فترة أحداث ثورة الخامس والعشرين من يناير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بضرورة انتظام سير العمل بالقناة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CD257D" w:rsidRPr="00996028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99602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  <w:t>حركة السفن العابرة لقناة السويس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:</w:t>
      </w:r>
    </w:p>
    <w:p w:rsidR="00CD257D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A6AB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توفر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القناة نسبة 23</w:t>
      </w:r>
      <w:r w:rsidRPr="002A6AB0">
        <w:rPr>
          <w:rFonts w:ascii="Simplified Arabic" w:hAnsi="Simplified Arabic" w:cs="Simplified Arabic"/>
          <w:sz w:val="28"/>
          <w:szCs w:val="28"/>
          <w:rtl/>
          <w:lang w:bidi="ar-EG"/>
        </w:rPr>
        <w:t>% فى المسافة بين طوكيو باليابان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2A6AB0">
        <w:rPr>
          <w:rFonts w:ascii="Simplified Arabic" w:hAnsi="Simplified Arabic" w:cs="Simplified Arabic"/>
          <w:sz w:val="28"/>
          <w:szCs w:val="28"/>
          <w:rtl/>
          <w:lang w:bidi="ar-EG"/>
        </w:rPr>
        <w:t>روتردام فى هولندا، بالمقارنة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للسير عبر طريق رأس الرجاء الصالح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 كما توفر نسبة 30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فى المسافة بين ميناء رأس تنوره السعودى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نيويورك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 وكذلك توفير نسبة 42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بين رأس تنوره وروتردام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بالمقارنة لطريق رأس الرجاء الصالح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إلا أن عدد السفن المارة بالقناة وحجم حمولتها قد ارتبط بالأوضاع الاقتصادية الدولية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حيث تأثرت القناة سلبا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بالحرب العالمية الأولى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وبالأزمة الاقتصادية العالمية فى أوائل الثلاثينات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وبالحرب العالمية الثانية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وبأزمة جنوب جنوب آسيا فى النصف الثانى من تسعينات القرن الماضى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وبتداعيات الأزمة المالية العالمية ما بين عامى 2007 و2009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ف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فى العقد الثانى من القرن العشرين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انخفض المعدل السنوى للسفن العابرة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حوالى ألفى وخمسائة سفينة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خلال سنوات الحرب العالمية الأولى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بعد أن زاد عن الخمسة آلاف سفينة قبلها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وفى العشرينات تحسن الأمر حتى جاوزت السفن الستة آلاف سفينة فى بعض السنوات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وقل العدد السنوى للسفن العابرة للقناة خلال الأزمة الاقتصادية العالمية بالثلاثينات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لكنه عاد للارتفاع بعدها ليزيد عن الستة آلاف سفينة مرة 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وانخفض العدد السنوى للسفن بشدة خلال سنوات الحرب العالمية الثانية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حتى قل عن الألفى سفينة سنويا ببعض الأعوام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وبعد انتهاء الحرب عاد عدد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الصعود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حتى زاد عن العشرة آلاف سفينة بنهاية الأربعينات من القرن الماضى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واستمر عدد السفن العابرة للقناة فى الصعود فى الخمسينات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وحتى تم اغلاق القناة مع العدوان الثلاثى على مصر عام 1956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لتعود القناة للملاحة بالعام التالى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كما تعطل المرور بالقناة فى أعقاب حرب يونيو 1967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لتعود للعمل بعد حرب أكتوبر فى عام 1975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وظلت تعمل منذ ذلك الحين وحتى الآن بلا انقطاع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فيما عدا أعطال نادرة محدودة لا يزيد أثرها عن اليوم الواحد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شهدت بدايات الثمانيات من القرن الماضى أعلى أرقام سجلتها القناة فى تاريخها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بالنسبة لعدد السفن المارة والذى بلغ 22545 سفينة عام 1982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بمتوسط يومى 62 سفينة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ورغم انخفاض العدد خلال السنوات التالية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إلا أنه لم يقل عن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17.5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ألف سفينة خلال سنوات الثمانيات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وفى التسعينات من القرن الماضى ظل العدد مرتفعا خلال النصف الأول من العقد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فى حين انخفض خلال النصف الثانى من التسعينات مع أزمة دول جنوب شرق آسيا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لكنه لم يقل عن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13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ألف سفينة فى أى من تلك السنوات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وفى العقد الأول من القرن الحادى والعشرين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استمر عدد السفن فى الارتفاع المتواصل حتى تخطى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21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ألف سفينة بنهاية العقد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لكنه عاد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التراجع خلال سنوات النصف الأول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من العقد الثانى الحالى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عما كان عليه بالعقد السابق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ليصل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17483 سفينة عام 2015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بمتوسط يومى 48 سفينة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ولعل البعض يتعجب من بلوغ عدد السفن العابرة بالسنوات الأولى من ثمانيات القرن الماضى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أكثر من عشرين ألف سيفنة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بينما تراجع ذلك العدد خلال سنوات النصف الأول من العقد الحالى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ليقل عن الثمانية عشر ألف سفينة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ويرتبط ذلك الانخفاض بالاتجاه العالمى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انشاء السفن كبيرة الحجم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والتى تستوعب كميات أكبر من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مما قلل من عدد السفن فى حين زادت قدرتها عل حمل كميات أكثر من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 هنا نجد أن صافى حمولة السفن العابرة للقناة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زادت كثيرا بالسنوات الأخيرة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عما كانت عليه بالثمانينات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لتصل فى عام 2015 نحو 999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مقابل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363.5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مليون طن عام 1982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وهو ما يفسر تزايد عائدات القناة بالسنوات الأخيرة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عما كانت عليه بالثمانيات والتسعينات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نظرا لاحتساب رسوم المرور بقناة السويس على حسب حمولة السفن من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ونوعية تلك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جدول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عدد السفن العابرة للقناة وصافى حمولتها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بالمليون طن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9450" w:type="dxa"/>
        <w:jc w:val="center"/>
        <w:tblLook w:val="04A0" w:firstRow="1" w:lastRow="0" w:firstColumn="1" w:lastColumn="0" w:noHBand="0" w:noVBand="1"/>
      </w:tblPr>
      <w:tblGrid>
        <w:gridCol w:w="2349"/>
        <w:gridCol w:w="1218"/>
        <w:gridCol w:w="1514"/>
        <w:gridCol w:w="1620"/>
        <w:gridCol w:w="1260"/>
        <w:gridCol w:w="1489"/>
      </w:tblGrid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السنة المالية 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عدد السفن 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صافى الحمولة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السنة المالية 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عدد السفن 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صافى الحمولة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2001/2002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13446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440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2008/2009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19354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811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2002/2003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14610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500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2009/2010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17504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787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2003/2004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16174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579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2010/2011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18050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897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2004/2005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17334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646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2011/2012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17664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939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2005/2006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18476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702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2012/2013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16664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912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2006/2007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19419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793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2013/2014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16744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931</w:t>
            </w:r>
          </w:p>
        </w:tc>
      </w:tr>
      <w:tr w:rsidR="00CD257D" w:rsidRPr="00936563" w:rsidTr="00EF3899">
        <w:trPr>
          <w:jc w:val="center"/>
        </w:trPr>
        <w:tc>
          <w:tcPr>
            <w:tcW w:w="234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2007/2008</w:t>
            </w:r>
          </w:p>
        </w:tc>
        <w:tc>
          <w:tcPr>
            <w:tcW w:w="121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21080</w:t>
            </w:r>
          </w:p>
        </w:tc>
        <w:tc>
          <w:tcPr>
            <w:tcW w:w="151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891</w:t>
            </w:r>
          </w:p>
        </w:tc>
        <w:tc>
          <w:tcPr>
            <w:tcW w:w="162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2014/2015</w:t>
            </w:r>
          </w:p>
        </w:tc>
        <w:tc>
          <w:tcPr>
            <w:tcW w:w="126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17544</w:t>
            </w:r>
          </w:p>
        </w:tc>
        <w:tc>
          <w:tcPr>
            <w:tcW w:w="1489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992</w:t>
            </w:r>
          </w:p>
        </w:tc>
      </w:tr>
    </w:tbl>
    <w:p w:rsidR="00CD257D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المصدر – هيئة قناة السويس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ومع وصول غاطس العبور المسموح به بالقناة منذ يناير 2010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66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قدم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فإن القناة قد أصبحت قادرة على استقبال السفن المحملة حتى حمولة 240 ألف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وبذلك أصبحت القناة تستطيع استيعاب نسبة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61.2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من ناقلات البترول بالعالم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92.7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% من أسطول سفن البضائع الصب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ونسبة 100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سفن الحاويات وباقى أنواع السفن العالمية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وتتعدد نوعيات السفن العابرة للقناة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إلا أن العدد الأكبر منها يخص سفن الحاويات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فى ضوء سماح الغاطس الحالى للقناة بمرور كل أحجام سفن الحاويات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اختلاف عدد الحاويات التى تحملها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وفى المركز الثانى تجىء ناقلات البترول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حيث لا يسمح غاطس القناة بمرور كل أنواع ناقلات البترول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مما ترتب عليه انشاء خط أنابيب سوميد بين السويس والاسكندرية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كى تقوم ناقلات البترول الضخمة بتفريغ جزء من حمولتها فى الأنابيب بالسويس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كى تستطيع المرور بالقناة بعد خفض حمولتها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تعيد تحميل تلك الكميات من الاسكندرية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ويسمح غاطس القناة بمرور باقى أنواع السفن والتى تحتل سفن البضائع الصب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المركز الثالث بها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مع بقاء حوالى 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أسطول سفن الصب بالعالم لا تستطيع المرور بالقناة لكبر حمولتها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وتأتى سفن البضائع العامة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بالمركز الرابع من حيث العدد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تليها بنسب أقل حاملات السيارات وسفن الغاز الطبيعى وحاملات الجرارات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يقل نصيب القناة بشكل ملحوظ من سفن الركاب والناقلات المشتركة والسفن الأخرى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جدول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التوزيع النسبى لعدد السفن العابرة للقناة حسب نوعياتها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</w:p>
    <w:tbl>
      <w:tblPr>
        <w:tblStyle w:val="TableGrid"/>
        <w:bidiVisual/>
        <w:tblW w:w="0" w:type="auto"/>
        <w:tblInd w:w="44" w:type="dxa"/>
        <w:tblLook w:val="04A0" w:firstRow="1" w:lastRow="0" w:firstColumn="1" w:lastColumn="0" w:noHBand="0" w:noVBand="1"/>
      </w:tblPr>
      <w:tblGrid>
        <w:gridCol w:w="1602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الحاويات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37.7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38.3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35.5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38.3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40.3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36.8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36.1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35.7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33.7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البترول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21.1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23.6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24.6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الصب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18.7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18.6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15.6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14.6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16.6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العامة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8.6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حاملات السيارات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5.4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الغاز الطبيعى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3.8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حاملات الجرارات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2.2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الركاب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مشتركة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.02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.01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أخرى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4.3</w:t>
            </w:r>
          </w:p>
        </w:tc>
      </w:tr>
    </w:tbl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المصدر – هيئة قناة السويس </w:t>
      </w:r>
    </w:p>
    <w:p w:rsidR="00CD257D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وطوال السنوات من 2007 وحتى 2015 ظل النصيب الأكبر لسفن الحاويات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اجمالى نوعيات السفن العابرة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حتى بلغ نصيبها النسبى أكثر من 40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عدد السفن المارة عام 2011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ولم تقل النسبة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فى أى من تلك السنوات التسع عن نسبة 34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العدد الإجمالى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تراوحت نسبة ناقلات البترول ما بين 17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لأقل نسبة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25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كأعلى نسبة لها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وتراوح نصيب سفن البضائع الصب ما بين 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%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19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وسفن البضائع العامة ما بين 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%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أما سفن الغاز الطبيعى فتراوحت نسبتها العددية ما بين 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%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6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 كان نصيبها النسبى من حيث الحمولة يزيد عن ذلك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وتدنى نصيب عدد سفن حاملات الجرارات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فأقل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وسفن الركاب لأقل من 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وأقل من ربع بالمائة لعدد الناقلات المشتركة العابرة بالقناة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وكانت هيئة قناة السويس قد نشرت عدد السفن الحربية المارة سنويا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عامى 2007و 2008 ثم أدمجتها فى بند سفن 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ويشير الصغر النسبى لنسبة السفن الحربية والبالغة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خلال عامى 2007 و2008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قلة عدد تلك السفن بالمقارنة لعدد السفن التجارية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حيث بلغ عددها 239 سفينة عام 2007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و247 سفينة عام 2008.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ومن حيث عدد السفن العابرة للقناة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خلال السنوات التسع من 2007 وحتى 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تراوح عدد السفن الحاويات العابرة ما بين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5941 سفينة كأقل عدد خلال عام 2015 وأعلاه 8156 سفينة عام 2008، وكان أقل عدد لناقلات البترول 3509 ناقلة خلال عام 2011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وأعلاه 4316 ناقلة عام 2015، وكان أصغر عدد لسفن البضائع الصب 2601 سفينة خلال عام 2011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وأعلاه 4048 سفينة بضائع صب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عام 2008.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وكان أدنى عدد لسفن البضائع العامة 1395 سفينة خلال عام 2011 وأكبرها 2101 سفينة عام 2007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وكان أقل عدد لحاملات السيارات 844 سفينة عام 2009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وأعلاه 1497 سفينة حاملة سيارات عام 2008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وأصغر عدد لسفن الغاز الطبيعى 525 سفينة عام 2009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وأعلاه 1083 سفينة غاز عام 2011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وأقل عدد لحاملات الجرارات 228 سفينة عام 2014 وأكبرها 387 سفينة عام 2015.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وتراوح عدد سفن الركاب ما بين 67 سفينة لأقل عدد عام 2014،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106 سفينة ركاب لأعلى عدد عام 2009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وتراوح عدد الناقلات المشتركة ما بين صفر عام 2013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68 ناقلة عام 2007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وهو ما يبين التذبذب فى أعداد السفن حسب نوعاياتها خلال السنوات المختلفة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وكان هذا التذبذب سائدا أيضا خلال الفترة من عام 2000وحتى 2006.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جدول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نمو عدد السفن العابرة للقناة حسب نوعياتها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</w:p>
    <w:tbl>
      <w:tblPr>
        <w:tblStyle w:val="TableGrid"/>
        <w:bidiVisual/>
        <w:tblW w:w="9450" w:type="dxa"/>
        <w:tblInd w:w="-83" w:type="dxa"/>
        <w:tblLook w:val="04A0" w:firstRow="1" w:lastRow="0" w:firstColumn="1" w:lastColumn="0" w:noHBand="0" w:noVBand="1"/>
      </w:tblPr>
      <w:tblGrid>
        <w:gridCol w:w="1750"/>
        <w:gridCol w:w="895"/>
        <w:gridCol w:w="895"/>
        <w:gridCol w:w="895"/>
        <w:gridCol w:w="895"/>
        <w:gridCol w:w="895"/>
        <w:gridCol w:w="895"/>
        <w:gridCol w:w="895"/>
        <w:gridCol w:w="1435"/>
      </w:tblGrid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الحاويات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5.7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25.5-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12.7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4.8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11.8-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5.0-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1.9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3.1-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البترول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9.4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8.3-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2.0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1.2-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3.7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1.2-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12.8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سفن البضائع الصب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4.2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21.8-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12.2-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12.9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2.1-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6.2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5.7-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العامة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-</w:t>
            </w: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1.5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10.0-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13.1-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13.8-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1.4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2.1-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9.1-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21.3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حاملات السيارات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11.0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43.6-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19.0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.9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2.8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2.1-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6.4-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الغاز الطبيعى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19.8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22.4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62.9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26.7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26.1-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18.9-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5.4-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9.1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حاملات الجرارات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9.3-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24.9-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2.7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5.9-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11.8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6.3-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14.3-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69.7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الركاب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20.3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19.1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5.7-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4.0-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10.4-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10.6-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11.8-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1.5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مشتركة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39.7-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17.1-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17.6-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39.3-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0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100-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0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50.0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أخرى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5.3-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7.7-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7.6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30.2-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3.4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5.9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3.4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2.0</w:t>
            </w:r>
          </w:p>
        </w:tc>
      </w:tr>
      <w:tr w:rsidR="00CD257D" w:rsidRPr="00936563" w:rsidTr="00EF3899">
        <w:tc>
          <w:tcPr>
            <w:tcW w:w="1750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اجمالى نوعيات السفن 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5.1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19.6-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4.4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1.1-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3.2-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3.6-</w:t>
            </w:r>
          </w:p>
        </w:tc>
        <w:tc>
          <w:tcPr>
            <w:tcW w:w="89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3.3</w:t>
            </w:r>
          </w:p>
        </w:tc>
        <w:tc>
          <w:tcPr>
            <w:tcW w:w="1435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2.0</w:t>
            </w:r>
          </w:p>
        </w:tc>
      </w:tr>
    </w:tbl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المصدر – هيئة قناة السويس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وقد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شمل التذبذب فى أعداد السفن العابرة لقناة السويس خلال السنوات الأخيرة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كافة أنواع السفن ما بين الارتفاع والإنخفاض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وكانت درجة التذبذب أعلى فى حاملات الجرارات وسفن الركاب والناقلات المشتركة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شهدت سفن البضائع الصب تذبذبا ملحوظا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إلا أن التذبذب كان محدودا لدى ناقلات البترول وكذلك لدى سفن الغاز الطبيعى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ولأن الأهم من عدد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هو الإيرادات التى تحققها من خلال صافى حمولتها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فقد تخطى صافى حمولات السفن العابرة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قبيل الحرب العالمية الأولى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انخفض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خلال الحرب ليعاود صافى الحمولة الارتفاع بعدها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حتى تخطى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مرة أخرى أوائل العشرينات من القرن الماضى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تخطى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طن بالنصف الأول من الثلاثينات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حتى كانت الحرب العالية الثانية ليعاود صافى حمولات السفن العابرة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الانخفاض لحوالى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7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ملايين طن سنويا خلال الحرب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وبانتهاء الحرب العالمية الثانية عاوت حمولات السفن العابرة الإرتفاع مرة 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لتتجاوز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خلال سنوات النصف الأول من الخمسينيات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وبعد عودة القناة للملاحة عام 1975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استمر صافى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الحمولات فى الإرتفاع لتصل 220 مليون طن عام 1977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تتخطى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خلال عقد الثمانينات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ورغم تخطى رقم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عامى 1990 و1992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إلا أنها انخفضت مرة أخرى خلال التسعينات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خاصة مع سنوات أزمة النمور الآسيوية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ومنذ عام 2000 وما يليها شهد صافى حمولة السفن العابرة للقناة ارتفاعات متتالية غير مسبوقة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رغم التذبذب الذى لحق به فى بعض السنوات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ليتخطى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عام 2001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600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فى عام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2004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700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فى عام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2006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800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فى عام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2007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900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مليون طن فى 2008 لصافى حمولة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العابرة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ورغم الانخفاض خلال عامى 2009 و2010 فقط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فقد ظل صافى حمولات السفن العابرة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يتخطى التسعمائة مليون طن خلال السنوات التالية وحتى 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مع حدوث ارتفاع متواصل فى صافى الحمولة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ما بين 2012 و2015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رغم تذبذب عدد السفن العا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برة خلال تلك السنوات.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جدول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التوزيع النسبى للحمولة الصافية للسفن العابرة حسب نوعياتها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</w:p>
    <w:tbl>
      <w:tblPr>
        <w:tblStyle w:val="TableGrid"/>
        <w:bidiVisual/>
        <w:tblW w:w="0" w:type="auto"/>
        <w:tblInd w:w="44" w:type="dxa"/>
        <w:tblLook w:val="04A0" w:firstRow="1" w:lastRow="0" w:firstColumn="1" w:lastColumn="0" w:noHBand="0" w:noVBand="1"/>
      </w:tblPr>
      <w:tblGrid>
        <w:gridCol w:w="1602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الحاويات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53.1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54.9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55.0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55.9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54.6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55.5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55.7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55.6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البترول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16.1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14.6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13.4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15.2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15.8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16.9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17.8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الصب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14.7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13.6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10.2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العامة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13.1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7.3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حاملات السيارات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5.7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سفن الغاز الطبيعى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1.6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حاملات الجرارات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.9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.9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الركاب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.3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.3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مشتركة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0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.1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.01</w:t>
            </w:r>
          </w:p>
        </w:tc>
      </w:tr>
      <w:tr w:rsidR="00CD257D" w:rsidRPr="00936563" w:rsidTr="00EF3899">
        <w:tc>
          <w:tcPr>
            <w:tcW w:w="1602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أخرى 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.6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.7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.8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.4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76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</w:tr>
    </w:tbl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المصدر – هيئة قناة السويس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وقد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احتفظت سفن الحاويات بالنصيب الأكبر من البضائع المارة عبر القناة خلال السنوات الأخيرة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 كان نصيبها النسبى بالحمولة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قد زاد كثيرا عن نصيبها النسبى من عدد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تليها ناقلات البترول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وإن بنسبة أقل من نصيبها النسبى فى عدد الناقلات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المارة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ثم سفن البضائع الصب بالمركز الثالث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اتساقا مع النصيب العددى لسفنها العابرة للقناة الذى احتل نفس الترتيب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واحتلت سفن الغاز الطبيعى المركز الرابع فى صافى حمولة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مقابل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احتلالها المركز السادس فى عدد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وجاءت حاملات السيارات بالمركز الخامس بالحمولة وهو نفس مركزها بعدد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وفى المركز السادس بصافى الحمولة جاءت سفن البضائع العامة رغم احتلالها المركز الرابع فى عدد السفن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وتلاها حاملات الجرارات وسفن الركاب والناقلات المشتركة بنسبة صغيرة من حمولة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إتساقا مع صغر نصيبها النسبى من أعداد السفن المارة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وخلال السنوات التسع من 2007وحتى 2015 زاد صافى حمولة سفن الحاويات العابرة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بشكل كبير من 438 مليون طن عام 2007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556 مليون طن فى 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زاد صافى حمولة ناقلات البترول من 146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178 مليون طن بنفس الفترة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وزادت حمولة سفن الغاز الطبيعى من 33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73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زاد صافى حمولة سفن الركاب خلال فترة المقارنة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وعلى العكس انخفضت حمولة سفن البضائع الصب من 125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102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ونفس الانخفاض لحمولة حاملات السيارات من 70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57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وكذلك سفن البضائع العامة التى تراجعت حمولتها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من 19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16 مليون طن خلال فترة المقارنة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وتذبذب أداء حمولة حاملات الجرارات خلال الفترة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جدول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نمو كميات الحمولة الصافية للسفن العابرة حسب نوعياتها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1524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2011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2012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2014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2015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الحاويات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10.4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16.6-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15.7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11.5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2.3-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.2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3.6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البترول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26.7-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1.3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22.3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9.0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الصب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.3-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28.9-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1.2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18.4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2.3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5.2-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البضائع العامة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19.0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35.7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72.1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33.8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27.2-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20.7-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4.9-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9.1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حاملات السيارات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12.9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39.2-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21.5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3.1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2.1-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3.1-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4.6-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الغاز الطبيعى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3.8-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10.5-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13.6-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.7-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1.9-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8.3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حاملات الجرارات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6.1-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23.0-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1.4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10.9-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42.2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سفن الركاب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23.0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24.9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10.8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3.0-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15.3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7.5-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18.2-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29.9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ناقلات مشتركة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33.7-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20.0-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8.7-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23,6-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4.1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100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00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73.6-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سفن أخرى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16.7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9.6-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32.0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37.9-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12.6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6.5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1.1-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3.6-</w:t>
            </w:r>
          </w:p>
        </w:tc>
      </w:tr>
      <w:tr w:rsidR="00CD257D" w:rsidRPr="00936563" w:rsidTr="00EF3899">
        <w:tc>
          <w:tcPr>
            <w:tcW w:w="1524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اجمالى حمولة السفن 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7.3-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15.2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9.7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00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1.4-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5.2</w:t>
            </w:r>
          </w:p>
        </w:tc>
        <w:tc>
          <w:tcPr>
            <w:tcW w:w="858" w:type="dxa"/>
          </w:tcPr>
          <w:p w:rsidR="00CD257D" w:rsidRPr="00936563" w:rsidRDefault="00CD257D" w:rsidP="00EF3899">
            <w:pPr>
              <w:pStyle w:val="ListParagraph"/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3656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3.7</w:t>
            </w:r>
          </w:p>
        </w:tc>
      </w:tr>
    </w:tbl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المصدر – هيئة قناة السويس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زادت درجة تذبذب أداء الناقلات المشتركة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وسفن البضائع العامة وحاملات السيارات من حيث صافى الحمولة خلال السنوات من 2008 وحتى 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بينما كانت درجة التذبذب أقل بصافى حمولة ناقلات البترول وسفن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الحاويات وسفن البضائع الصب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لتشهد تلك النوعيات من السفن اتجاها تصاعديا عاما فى صافى الحمولة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رغم حدوث تراجع فى بعض السنوات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وفيما يخص أبرز البضائع المارة بقناة السويس عام 2015 والبالغ مجموعها 823 مليون طن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فقد شكلت البضائع فى الحاويات نسبة 52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والمنتجات البترولية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12.4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والنفط الخام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9.8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والحبوب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5.3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والمعادن والخامات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3.7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والغاز الطبيعى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3.4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والمعادن المصنعة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3.3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والكيماويات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2.2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والفحم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1.8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والزيوت النباتية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1.7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والأسمدة المعدنية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والآلات وأجزاؤها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0.9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والنباتات الزيتية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1.4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والمواد الغذائية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0.3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والسلع الأخرى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1.2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%.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ويلاحظ اتجاه بعض نوعيات البضائع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الزيادة خلال السنوات الممتدة من 2007 وحتى 2015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وأبرزها البضائع فى حاويات والبترول والغازات الطبيعية والحبوب والزيوت النباتية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بينما اتجهت سلع أخرى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تراجع كمياتها خلال تلك الفترة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ومنها المعادن المصنعة والفحم وفحم الكوك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وربما يعود ذلك لأسباب تتعلق بالحفاظ على البيئة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كما حافظت سلع أخرى على معدلات حجمها خلال تلك السنوات مثل المواد الغذائية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ومرت عبر القناة خلال عام 2015 صادرات النفط الخام والمشتقات البترولية من دول بشمال القناة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روسيا وتركيا وقبرص وهولندا والجزائر وإيطاليا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دول بجنوب القناة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سنغافورة وكوريا الجنوبية والإمارات العربية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والسعودية والصين والهند وأندونسيا واليابان وتايوان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كما اتجهت صادرات نفط خام ومشتقات عبر القناة من الجنوب من دول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العراق والسعودية والهند والإمارات والكويت وايران وسنغافوره وقطر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بلدان بالشمال أبرزها الولايات المتحدة وتركيا وهولندا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وفرنسا وأسبانيا وايطاليا واليونان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وانجلترا وقبرص وكندا ولبنان وبلجيكا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كذلك مرت صادرات حبوب عبر القناة من الشمال من دول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أوكرانيا وروسيا وألمانيا ورومانيا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والولايات المتحدة وأسبانيا وتركيا وفرنسا وليتوانيا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دول بالجنوب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السعودية والصين وكوريا الجنوبية وايران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وبنجلاديش والأردن وجيبوتى وتايلاند واليمن وسنغافوره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أيضا مرت بالقناة عام 2015 صادرات زيوت نباتية من الجنوب من دول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أندونسيا وسنغافوره وماليزيا والهند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دول بالشمال أبرزها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هولندا وأسبانيا وايطاليا وتركيا وروسيا واليونان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وهكذا فى باقى السلع تتم عبر القناة صادرات سلعية لدول جنوب القناة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>دول شمالها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وعلى الناحية المقابلة تمر بها صادرات سلعية لدول شمال القناة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إلى 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دول جنوب القناة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93656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D257D" w:rsidRPr="00936563" w:rsidRDefault="00CD257D" w:rsidP="00EF3899">
      <w:pPr>
        <w:pStyle w:val="ListParagraph"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1B601F" w:rsidRPr="00CD257D" w:rsidRDefault="001B601F" w:rsidP="00EF3899"/>
    <w:sectPr w:rsidR="001B601F" w:rsidRPr="00CD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3D8E"/>
    <w:multiLevelType w:val="hybridMultilevel"/>
    <w:tmpl w:val="8F380296"/>
    <w:lvl w:ilvl="0" w:tplc="80B2C0B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7D"/>
    <w:rsid w:val="000133D4"/>
    <w:rsid w:val="00043143"/>
    <w:rsid w:val="001B601F"/>
    <w:rsid w:val="002672D7"/>
    <w:rsid w:val="002B6FDC"/>
    <w:rsid w:val="003B3F7D"/>
    <w:rsid w:val="003C1DD2"/>
    <w:rsid w:val="00BE25E8"/>
    <w:rsid w:val="00CD257D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1FB66-5FCD-435C-B6CA-E22C2B0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7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7D"/>
    <w:pPr>
      <w:ind w:left="720"/>
      <w:contextualSpacing/>
    </w:pPr>
  </w:style>
  <w:style w:type="table" w:styleId="TableGrid">
    <w:name w:val="Table Grid"/>
    <w:basedOn w:val="TableNormal"/>
    <w:uiPriority w:val="59"/>
    <w:rsid w:val="00CD257D"/>
    <w:pPr>
      <w:bidi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2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7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7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</dc:creator>
  <cp:keywords/>
  <dc:description/>
  <cp:lastModifiedBy>Essam</cp:lastModifiedBy>
  <cp:revision>6</cp:revision>
  <dcterms:created xsi:type="dcterms:W3CDTF">2016-03-12T21:49:00Z</dcterms:created>
  <dcterms:modified xsi:type="dcterms:W3CDTF">2016-03-12T23:14:00Z</dcterms:modified>
</cp:coreProperties>
</file>